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274CDD57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2D2136">
        <w:rPr>
          <w:rFonts w:ascii="Calibri" w:hAnsi="Calibri" w:cs="Calibri"/>
          <w:b/>
        </w:rPr>
        <w:t>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5FDD70CD" w14:textId="15848E66" w:rsidR="00BB07C4" w:rsidRDefault="003B0C2B" w:rsidP="00E25E1D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957905C" w14:textId="77777777" w:rsidR="00E25E1D" w:rsidRPr="000C5495" w:rsidRDefault="00E25E1D" w:rsidP="00E25E1D">
      <w:pPr>
        <w:jc w:val="center"/>
        <w:rPr>
          <w:rFonts w:ascii="Calibri" w:hAnsi="Calibri" w:cs="Calibri"/>
        </w:rPr>
      </w:pPr>
    </w:p>
    <w:p w14:paraId="68F68363" w14:textId="42D0BDC3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</w:rPr>
      </w:pPr>
      <w:r w:rsidRPr="00E25E1D">
        <w:rPr>
          <w:rFonts w:asciiTheme="minorHAnsi" w:hAnsiTheme="minorHAnsi" w:cs="Times New Roman"/>
          <w:b/>
        </w:rPr>
        <w:t xml:space="preserve"> (MODELO) </w:t>
      </w:r>
    </w:p>
    <w:p w14:paraId="541B49CD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u w:val="single"/>
        </w:rPr>
      </w:pPr>
      <w:r w:rsidRPr="00E25E1D">
        <w:rPr>
          <w:rFonts w:asciiTheme="minorHAnsi" w:hAnsiTheme="minorHAnsi" w:cs="Times New Roman"/>
          <w:b/>
          <w:u w:val="single"/>
        </w:rPr>
        <w:t>ANÁLISE ECONÔMICO-FINANCEIRA</w:t>
      </w:r>
    </w:p>
    <w:p w14:paraId="35EB195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/>
        </w:rPr>
      </w:pPr>
    </w:p>
    <w:p w14:paraId="1737C63F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 situação financeira das licitantes será aferida por meio dos índices de:  ILG = ÍNDICE DE LIQUIDEZ GERAL, ISG = ÍNDICE DE SOLVÊNCIA GERAL e ILC = ÍNDICE DE LIQUIDEZ CORRENTE.</w:t>
      </w:r>
    </w:p>
    <w:p w14:paraId="51BD15BC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5DF7A5A3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(AC + RLP) / (PC + ELP) = X</w:t>
      </w:r>
    </w:p>
    <w:p w14:paraId="009A3DFA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ÍNDICE DE LIQUIDEZ GERAL</w:t>
      </w:r>
    </w:p>
    <w:p w14:paraId="3848588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4A79933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RLP = Realizável à Longo Prazo</w:t>
      </w:r>
    </w:p>
    <w:p w14:paraId="35120F5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10E3F67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ELP = Exigível à Longo Prazo</w:t>
      </w:r>
    </w:p>
    <w:p w14:paraId="147410D9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</w:p>
    <w:p w14:paraId="43B71CD7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AT / (PC + ELP) = X</w:t>
      </w:r>
    </w:p>
    <w:p w14:paraId="62DA2CE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ÍNDICE DE SOLVÊNCIA GERAL</w:t>
      </w:r>
    </w:p>
    <w:p w14:paraId="66FABBF1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AT = Ativo Total</w:t>
      </w:r>
    </w:p>
    <w:p w14:paraId="3C08F4B4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A0634D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ELP = Exigível à Longo Prazo </w:t>
      </w:r>
    </w:p>
    <w:p w14:paraId="2A0E46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00B3B249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AC / PC = X</w:t>
      </w:r>
    </w:p>
    <w:p w14:paraId="08CB51D2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ÍNDICE DE LIQUIDEZ CORRENTE</w:t>
      </w:r>
    </w:p>
    <w:p w14:paraId="7B0E9AB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7A523103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2F301C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33556AEE" w14:textId="77777777" w:rsidR="00E25E1D" w:rsidRPr="00E25E1D" w:rsidRDefault="00E25E1D" w:rsidP="002D2136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Os índices calculados, obrigatoriamente, acompanharão as demonstrações contábeis, sendo consideradas habilitadas as empresas que apresentarem os seguintes resultados: </w:t>
      </w:r>
    </w:p>
    <w:p w14:paraId="6EF3EE3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1F07D329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Geral (ILG) = índice maior ou igual a 1,00. </w:t>
      </w:r>
    </w:p>
    <w:p w14:paraId="0A3C91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Solvência Geral (ISG) = índice maior ou igual a 1,00.</w:t>
      </w:r>
    </w:p>
    <w:p w14:paraId="5A4EC186" w14:textId="5D0CBD2D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Corrente (ILC) = índice maior ou igual a 1,00. </w:t>
      </w:r>
    </w:p>
    <w:p w14:paraId="1A631B8E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6724E34F" w14:textId="4CC2514C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__________________________________</w:t>
      </w:r>
    </w:p>
    <w:p w14:paraId="3A67423F" w14:textId="346D1A0E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(contador)</w:t>
      </w:r>
    </w:p>
    <w:p w14:paraId="7AE83C8B" w14:textId="588D5D22" w:rsidR="002971A7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sz w:val="20"/>
          <w:szCs w:val="20"/>
        </w:rPr>
      </w:pPr>
      <w:r w:rsidRPr="00E25E1D">
        <w:rPr>
          <w:rFonts w:asciiTheme="minorHAnsi" w:hAnsiTheme="minorHAnsi" w:cs="Times New Roman"/>
          <w:b/>
          <w:sz w:val="20"/>
          <w:szCs w:val="20"/>
        </w:rPr>
        <w:t>OBS: O DOCUMENTO DEVERÁ CONTER A ASSINATURA DO CONTADOR.</w:t>
      </w:r>
    </w:p>
    <w:sectPr w:rsidR="002971A7" w:rsidRPr="00E25E1D" w:rsidSect="00E25E1D">
      <w:headerReference w:type="default" r:id="rId7"/>
      <w:footerReference w:type="default" r:id="rId8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D3A48" w14:textId="77777777" w:rsidR="008C3BD6" w:rsidRDefault="008C3BD6" w:rsidP="003C2589">
      <w:r>
        <w:separator/>
      </w:r>
    </w:p>
  </w:endnote>
  <w:endnote w:type="continuationSeparator" w:id="0">
    <w:p w14:paraId="3290D8C6" w14:textId="77777777" w:rsidR="008C3BD6" w:rsidRDefault="008C3BD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20EA8" w14:textId="77777777" w:rsidR="008C3BD6" w:rsidRDefault="008C3BD6" w:rsidP="003C2589">
      <w:r>
        <w:separator/>
      </w:r>
    </w:p>
  </w:footnote>
  <w:footnote w:type="continuationSeparator" w:id="0">
    <w:p w14:paraId="2C44B03E" w14:textId="77777777" w:rsidR="008C3BD6" w:rsidRDefault="008C3BD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1062717">
    <w:abstractNumId w:val="0"/>
  </w:num>
  <w:num w:numId="2" w16cid:durableId="5596221">
    <w:abstractNumId w:val="2"/>
  </w:num>
  <w:num w:numId="3" w16cid:durableId="1024137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00AF4"/>
    <w:rsid w:val="00150FB8"/>
    <w:rsid w:val="0020145C"/>
    <w:rsid w:val="002971A7"/>
    <w:rsid w:val="002D2136"/>
    <w:rsid w:val="003B0C2B"/>
    <w:rsid w:val="003C2589"/>
    <w:rsid w:val="004C32E0"/>
    <w:rsid w:val="006666A0"/>
    <w:rsid w:val="006B3F7F"/>
    <w:rsid w:val="006D1252"/>
    <w:rsid w:val="007405AE"/>
    <w:rsid w:val="008A2D51"/>
    <w:rsid w:val="008C3BD6"/>
    <w:rsid w:val="009C50B1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E25E1D"/>
    <w:rsid w:val="00F56B85"/>
    <w:rsid w:val="00FA73FD"/>
    <w:rsid w:val="00FC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ALUNO</cp:lastModifiedBy>
  <cp:revision>2</cp:revision>
  <dcterms:created xsi:type="dcterms:W3CDTF">2025-04-30T14:24:00Z</dcterms:created>
  <dcterms:modified xsi:type="dcterms:W3CDTF">2025-04-30T14:24:00Z</dcterms:modified>
</cp:coreProperties>
</file>